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E67CD">
      <w:pPr>
        <w:rPr>
          <w:rFonts w:hint="eastAsia" w:eastAsia="宋体"/>
          <w:lang w:val="en-US" w:eastAsia="zh-CN"/>
        </w:rPr>
      </w:pPr>
      <w:r>
        <w:rPr>
          <w:rFonts w:ascii="Times New Roman" w:hAnsi="Times New Roman" w:eastAsia="Times New Roman"/>
          <w:b/>
          <w:bCs/>
          <w:spacing w:val="-1"/>
          <w:position w:val="4"/>
          <w:sz w:val="24"/>
        </w:rPr>
        <w:t xml:space="preserve">Table </w:t>
      </w:r>
      <w:r>
        <w:rPr>
          <w:rFonts w:hint="eastAsia" w:ascii="Times New Roman" w:hAnsi="Times New Roman"/>
          <w:b/>
          <w:bCs/>
          <w:spacing w:val="-1"/>
          <w:position w:val="4"/>
          <w:sz w:val="24"/>
          <w:lang w:val="en-US" w:eastAsia="zh-CN"/>
        </w:rPr>
        <w:t>S</w:t>
      </w:r>
      <w:r>
        <w:rPr>
          <w:rFonts w:ascii="Times New Roman" w:hAnsi="Times New Roman" w:eastAsia="Times New Roman"/>
          <w:b/>
          <w:bCs/>
          <w:spacing w:val="-1"/>
          <w:position w:val="4"/>
          <w:sz w:val="24"/>
        </w:rPr>
        <w:t xml:space="preserve">1. </w:t>
      </w:r>
      <w:bookmarkStart w:id="0" w:name="_GoBack"/>
      <w:r>
        <w:rPr>
          <w:rFonts w:hint="eastAsia" w:ascii="Times New Roman" w:hAnsi="Times New Roman" w:eastAsia="Times New Roman"/>
          <w:b/>
          <w:bCs/>
          <w:spacing w:val="-1"/>
          <w:position w:val="4"/>
          <w:sz w:val="24"/>
        </w:rPr>
        <w:t xml:space="preserve">Distribution of respondents by </w:t>
      </w:r>
      <w:bookmarkEnd w:id="0"/>
      <w:r>
        <w:rPr>
          <w:rFonts w:hint="eastAsia" w:ascii="Times New Roman" w:hAnsi="Times New Roman" w:eastAsia="Times New Roman"/>
          <w:b/>
          <w:bCs/>
          <w:spacing w:val="-1"/>
          <w:position w:val="4"/>
          <w:sz w:val="24"/>
        </w:rPr>
        <w:t>hospital characteristics and sub-specialty interests based on WeChat group categories</w:t>
      </w:r>
    </w:p>
    <w:tbl>
      <w:tblPr>
        <w:tblStyle w:val="3"/>
        <w:tblW w:w="4998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75"/>
        <w:gridCol w:w="3734"/>
        <w:gridCol w:w="2494"/>
      </w:tblGrid>
      <w:tr w14:paraId="201704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249" w:type="pct"/>
            <w:tcBorders>
              <w:top w:val="single" w:color="auto" w:sz="12" w:space="0"/>
              <w:bottom w:val="single" w:color="000000" w:sz="4" w:space="0"/>
            </w:tcBorders>
          </w:tcPr>
          <w:p w14:paraId="4FE248AC">
            <w:pPr>
              <w:pStyle w:val="6"/>
              <w:spacing w:before="76" w:line="360" w:lineRule="auto"/>
              <w:ind w:left="46"/>
            </w:pPr>
            <w:r>
              <w:rPr>
                <w:b/>
                <w:bCs/>
                <w:spacing w:val="-1"/>
              </w:rPr>
              <w:t>Variable</w:t>
            </w:r>
          </w:p>
        </w:tc>
        <w:tc>
          <w:tcPr>
            <w:tcW w:w="2248" w:type="pct"/>
            <w:tcBorders>
              <w:top w:val="single" w:color="auto" w:sz="12" w:space="0"/>
              <w:bottom w:val="single" w:color="000000" w:sz="4" w:space="0"/>
            </w:tcBorders>
          </w:tcPr>
          <w:p w14:paraId="370AC481">
            <w:pPr>
              <w:pStyle w:val="6"/>
              <w:spacing w:before="76" w:line="360" w:lineRule="auto"/>
              <w:ind w:left="241"/>
            </w:pPr>
            <w:r>
              <w:rPr>
                <w:b/>
                <w:bCs/>
                <w:spacing w:val="-2"/>
              </w:rPr>
              <w:t>Category</w:t>
            </w:r>
          </w:p>
        </w:tc>
        <w:tc>
          <w:tcPr>
            <w:tcW w:w="1501" w:type="pct"/>
            <w:tcBorders>
              <w:top w:val="single" w:color="auto" w:sz="12" w:space="0"/>
              <w:bottom w:val="single" w:color="000000" w:sz="4" w:space="0"/>
            </w:tcBorders>
          </w:tcPr>
          <w:p w14:paraId="3321506C">
            <w:pPr>
              <w:pStyle w:val="6"/>
              <w:spacing w:before="76" w:line="360" w:lineRule="auto"/>
              <w:ind w:left="98"/>
            </w:pPr>
            <w:r>
              <w:rPr>
                <w:b/>
                <w:bCs/>
                <w:spacing w:val="-5"/>
              </w:rPr>
              <w:t>n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b/>
                <w:bCs/>
                <w:spacing w:val="-5"/>
              </w:rPr>
              <w:t>(%)</w:t>
            </w:r>
          </w:p>
        </w:tc>
      </w:tr>
      <w:tr w14:paraId="73FF65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14133CFB">
            <w:pPr>
              <w:pStyle w:val="6"/>
              <w:spacing w:before="68" w:line="360" w:lineRule="auto"/>
              <w:ind w:left="48"/>
              <w:rPr>
                <w:spacing w:val="-2"/>
              </w:rPr>
            </w:pPr>
            <w:r>
              <w:rPr>
                <w:rFonts w:hint="eastAsia"/>
                <w:spacing w:val="-2"/>
              </w:rPr>
              <w:t>Hospital location</w:t>
            </w:r>
          </w:p>
        </w:tc>
        <w:tc>
          <w:tcPr>
            <w:tcW w:w="2248" w:type="pct"/>
          </w:tcPr>
          <w:p w14:paraId="60202407">
            <w:pPr>
              <w:pStyle w:val="6"/>
              <w:spacing w:before="30" w:line="360" w:lineRule="auto"/>
              <w:ind w:left="247"/>
              <w:rPr>
                <w:rFonts w:hint="eastAsia"/>
                <w:spacing w:val="-2"/>
                <w:position w:val="3"/>
              </w:rPr>
            </w:pPr>
            <w:r>
              <w:rPr>
                <w:rFonts w:hint="eastAsia"/>
                <w:spacing w:val="-2"/>
                <w:position w:val="3"/>
              </w:rPr>
              <w:t>Urban</w:t>
            </w:r>
          </w:p>
        </w:tc>
        <w:tc>
          <w:tcPr>
            <w:tcW w:w="1501" w:type="pct"/>
          </w:tcPr>
          <w:p w14:paraId="22535D58">
            <w:pPr>
              <w:pStyle w:val="6"/>
              <w:spacing w:before="30" w:line="360" w:lineRule="auto"/>
              <w:ind w:left="93"/>
              <w:rPr>
                <w:rFonts w:hint="eastAsia"/>
                <w:spacing w:val="-3"/>
                <w:position w:val="3"/>
              </w:rPr>
            </w:pPr>
            <w:r>
              <w:rPr>
                <w:rFonts w:hint="eastAsia"/>
                <w:spacing w:val="-3"/>
                <w:position w:val="3"/>
              </w:rPr>
              <w:t>89 (78.8)</w:t>
            </w:r>
          </w:p>
        </w:tc>
      </w:tr>
      <w:tr w14:paraId="038728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342C6377">
            <w:pPr>
              <w:pStyle w:val="6"/>
              <w:spacing w:before="68" w:line="360" w:lineRule="auto"/>
              <w:ind w:left="48"/>
              <w:rPr>
                <w:rFonts w:hint="eastAsia"/>
                <w:spacing w:val="-2"/>
              </w:rPr>
            </w:pPr>
          </w:p>
        </w:tc>
        <w:tc>
          <w:tcPr>
            <w:tcW w:w="2248" w:type="pct"/>
          </w:tcPr>
          <w:p w14:paraId="1398A223">
            <w:pPr>
              <w:pStyle w:val="6"/>
              <w:spacing w:before="30" w:line="360" w:lineRule="auto"/>
              <w:ind w:left="247"/>
              <w:rPr>
                <w:rFonts w:hint="eastAsia"/>
                <w:spacing w:val="-2"/>
                <w:position w:val="3"/>
              </w:rPr>
            </w:pPr>
            <w:r>
              <w:rPr>
                <w:rFonts w:hint="eastAsia"/>
                <w:spacing w:val="-2"/>
                <w:position w:val="3"/>
              </w:rPr>
              <w:t>Suburban/rural</w:t>
            </w:r>
          </w:p>
        </w:tc>
        <w:tc>
          <w:tcPr>
            <w:tcW w:w="1501" w:type="pct"/>
          </w:tcPr>
          <w:p w14:paraId="2E699B84">
            <w:pPr>
              <w:pStyle w:val="6"/>
              <w:spacing w:before="30" w:line="360" w:lineRule="auto"/>
              <w:ind w:left="93"/>
              <w:rPr>
                <w:rFonts w:hint="eastAsia"/>
                <w:spacing w:val="-3"/>
                <w:position w:val="3"/>
              </w:rPr>
            </w:pPr>
            <w:r>
              <w:rPr>
                <w:rFonts w:hint="eastAsia"/>
                <w:spacing w:val="-3"/>
                <w:position w:val="3"/>
              </w:rPr>
              <w:t>24 (21.2)</w:t>
            </w:r>
          </w:p>
        </w:tc>
      </w:tr>
      <w:tr w14:paraId="7F4944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158F608F">
            <w:pPr>
              <w:pStyle w:val="6"/>
              <w:spacing w:before="68" w:line="360" w:lineRule="auto"/>
              <w:ind w:left="48"/>
              <w:rPr>
                <w:spacing w:val="-2"/>
              </w:rPr>
            </w:pPr>
            <w:r>
              <w:rPr>
                <w:rFonts w:hint="eastAsia" w:eastAsia="宋体"/>
                <w:spacing w:val="-2"/>
                <w:lang w:val="en-US" w:eastAsia="zh-CN"/>
              </w:rPr>
              <w:t>H</w:t>
            </w:r>
            <w:r>
              <w:rPr>
                <w:rFonts w:hint="eastAsia"/>
                <w:spacing w:val="-2"/>
              </w:rPr>
              <w:t>ospital tier</w:t>
            </w:r>
          </w:p>
        </w:tc>
        <w:tc>
          <w:tcPr>
            <w:tcW w:w="2248" w:type="pct"/>
          </w:tcPr>
          <w:p w14:paraId="09FD6C36">
            <w:pPr>
              <w:pStyle w:val="6"/>
              <w:spacing w:before="30" w:line="360" w:lineRule="auto"/>
              <w:ind w:left="247"/>
              <w:rPr>
                <w:rFonts w:hint="eastAsia"/>
                <w:spacing w:val="-2"/>
                <w:position w:val="3"/>
              </w:rPr>
            </w:pPr>
            <w:r>
              <w:rPr>
                <w:rFonts w:hint="eastAsia" w:eastAsia="宋体"/>
                <w:spacing w:val="-2"/>
                <w:position w:val="3"/>
                <w:lang w:val="en-US" w:eastAsia="zh-CN"/>
              </w:rPr>
              <w:t>T</w:t>
            </w:r>
            <w:r>
              <w:rPr>
                <w:rFonts w:hint="eastAsia"/>
                <w:spacing w:val="-2"/>
                <w:position w:val="3"/>
              </w:rPr>
              <w:t>ertiary hospitals</w:t>
            </w:r>
          </w:p>
        </w:tc>
        <w:tc>
          <w:tcPr>
            <w:tcW w:w="1501" w:type="pct"/>
          </w:tcPr>
          <w:p w14:paraId="2BA32675">
            <w:pPr>
              <w:pStyle w:val="6"/>
              <w:spacing w:before="30" w:line="360" w:lineRule="auto"/>
              <w:ind w:left="93"/>
              <w:rPr>
                <w:rFonts w:hint="default" w:eastAsia="宋体"/>
                <w:spacing w:val="-3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3"/>
                <w:position w:val="3"/>
                <w:lang w:val="en-US" w:eastAsia="zh-CN"/>
              </w:rPr>
              <w:t>95 (84.1%）</w:t>
            </w:r>
          </w:p>
        </w:tc>
      </w:tr>
      <w:tr w14:paraId="047D5DC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334DDB48">
            <w:pPr>
              <w:pStyle w:val="6"/>
              <w:spacing w:before="68" w:line="360" w:lineRule="auto"/>
              <w:ind w:left="48"/>
              <w:rPr>
                <w:rFonts w:hint="eastAsia" w:eastAsia="宋体"/>
                <w:spacing w:val="-2"/>
                <w:lang w:val="en-US" w:eastAsia="zh-CN"/>
              </w:rPr>
            </w:pPr>
          </w:p>
        </w:tc>
        <w:tc>
          <w:tcPr>
            <w:tcW w:w="2248" w:type="pct"/>
          </w:tcPr>
          <w:p w14:paraId="6DE433A0">
            <w:pPr>
              <w:pStyle w:val="6"/>
              <w:spacing w:before="30" w:line="360" w:lineRule="auto"/>
              <w:ind w:left="247"/>
              <w:rPr>
                <w:rFonts w:hint="eastAsia" w:eastAsia="宋体"/>
                <w:spacing w:val="-2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3"/>
                <w:lang w:val="en-US" w:eastAsia="zh-CN"/>
              </w:rPr>
              <w:t>S</w:t>
            </w:r>
            <w:r>
              <w:rPr>
                <w:rFonts w:hint="eastAsia"/>
                <w:spacing w:val="-2"/>
                <w:position w:val="3"/>
              </w:rPr>
              <w:t>econdary hospitals</w:t>
            </w:r>
          </w:p>
        </w:tc>
        <w:tc>
          <w:tcPr>
            <w:tcW w:w="1501" w:type="pct"/>
          </w:tcPr>
          <w:p w14:paraId="33E62E44">
            <w:pPr>
              <w:pStyle w:val="6"/>
              <w:spacing w:before="30" w:line="360" w:lineRule="auto"/>
              <w:ind w:left="93"/>
              <w:rPr>
                <w:rFonts w:hint="eastAsia" w:eastAsia="宋体"/>
                <w:spacing w:val="-3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3"/>
                <w:position w:val="3"/>
                <w:lang w:val="en-US" w:eastAsia="zh-CN"/>
              </w:rPr>
              <w:t>18 (15.9%)</w:t>
            </w:r>
          </w:p>
        </w:tc>
      </w:tr>
      <w:tr w14:paraId="595BA3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5DADE446">
            <w:pPr>
              <w:pStyle w:val="6"/>
              <w:spacing w:before="68" w:line="360" w:lineRule="auto"/>
              <w:ind w:left="48"/>
              <w:rPr>
                <w:rFonts w:hint="eastAsia" w:eastAsia="宋体"/>
                <w:spacing w:val="-2"/>
                <w:lang w:val="en-US" w:eastAsia="zh-CN"/>
              </w:rPr>
            </w:pPr>
            <w:r>
              <w:rPr>
                <w:rFonts w:hint="eastAsia" w:eastAsia="宋体"/>
                <w:spacing w:val="-2"/>
                <w:lang w:val="en-US" w:eastAsia="zh-CN"/>
              </w:rPr>
              <w:t>Sub-specialty interest</w:t>
            </w:r>
          </w:p>
        </w:tc>
        <w:tc>
          <w:tcPr>
            <w:tcW w:w="2248" w:type="pct"/>
          </w:tcPr>
          <w:p w14:paraId="4193D0F6">
            <w:pPr>
              <w:pStyle w:val="6"/>
              <w:spacing w:before="30" w:line="360" w:lineRule="auto"/>
              <w:ind w:left="247"/>
              <w:rPr>
                <w:rFonts w:hint="eastAsia" w:eastAsia="宋体"/>
                <w:spacing w:val="-2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3"/>
                <w:lang w:val="en-US" w:eastAsia="zh-CN"/>
              </w:rPr>
              <w:t>Child and adolescent psychiatry</w:t>
            </w:r>
          </w:p>
        </w:tc>
        <w:tc>
          <w:tcPr>
            <w:tcW w:w="1501" w:type="pct"/>
          </w:tcPr>
          <w:p w14:paraId="7924D12B">
            <w:pPr>
              <w:pStyle w:val="6"/>
              <w:spacing w:before="30" w:line="360" w:lineRule="auto"/>
              <w:ind w:left="93"/>
              <w:rPr>
                <w:rFonts w:hint="default" w:eastAsia="宋体"/>
                <w:spacing w:val="-3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3"/>
                <w:position w:val="3"/>
                <w:lang w:val="en-US" w:eastAsia="zh-CN"/>
              </w:rPr>
              <w:t>27 (23.9%)</w:t>
            </w:r>
          </w:p>
        </w:tc>
      </w:tr>
      <w:tr w14:paraId="3FEECF1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</w:tcPr>
          <w:p w14:paraId="152C7BEE">
            <w:pPr>
              <w:pStyle w:val="6"/>
              <w:spacing w:before="68" w:line="360" w:lineRule="auto"/>
              <w:ind w:left="48"/>
              <w:rPr>
                <w:rFonts w:hint="eastAsia" w:eastAsia="宋体"/>
                <w:spacing w:val="-2"/>
                <w:lang w:val="en-US" w:eastAsia="zh-CN"/>
              </w:rPr>
            </w:pPr>
          </w:p>
        </w:tc>
        <w:tc>
          <w:tcPr>
            <w:tcW w:w="2248" w:type="pct"/>
          </w:tcPr>
          <w:p w14:paraId="6C45A12F">
            <w:pPr>
              <w:pStyle w:val="6"/>
              <w:spacing w:before="30" w:line="360" w:lineRule="auto"/>
              <w:ind w:left="247"/>
              <w:rPr>
                <w:rFonts w:hint="eastAsia" w:eastAsia="宋体"/>
                <w:spacing w:val="-2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3"/>
                <w:lang w:val="en-US" w:eastAsia="zh-CN"/>
              </w:rPr>
              <w:t>Adult psychiatry</w:t>
            </w:r>
          </w:p>
        </w:tc>
        <w:tc>
          <w:tcPr>
            <w:tcW w:w="1501" w:type="pct"/>
          </w:tcPr>
          <w:p w14:paraId="03A6D311">
            <w:pPr>
              <w:pStyle w:val="6"/>
              <w:spacing w:before="30" w:line="360" w:lineRule="auto"/>
              <w:ind w:left="93"/>
              <w:rPr>
                <w:rFonts w:hint="default" w:eastAsia="宋体"/>
                <w:spacing w:val="-3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3"/>
                <w:position w:val="3"/>
                <w:lang w:val="en-US" w:eastAsia="zh-CN"/>
              </w:rPr>
              <w:t>69 (61.1%)</w:t>
            </w:r>
          </w:p>
        </w:tc>
      </w:tr>
      <w:tr w14:paraId="2FB55B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9" w:type="pct"/>
            <w:tcBorders>
              <w:bottom w:val="single" w:color="auto" w:sz="12" w:space="0"/>
            </w:tcBorders>
          </w:tcPr>
          <w:p w14:paraId="43FE711E">
            <w:pPr>
              <w:pStyle w:val="6"/>
              <w:spacing w:before="68" w:line="360" w:lineRule="auto"/>
              <w:ind w:left="48"/>
              <w:rPr>
                <w:rFonts w:hint="eastAsia" w:eastAsia="宋体"/>
                <w:spacing w:val="-2"/>
                <w:lang w:val="en-US" w:eastAsia="zh-CN"/>
              </w:rPr>
            </w:pPr>
          </w:p>
        </w:tc>
        <w:tc>
          <w:tcPr>
            <w:tcW w:w="2248" w:type="pct"/>
            <w:tcBorders>
              <w:bottom w:val="single" w:color="auto" w:sz="12" w:space="0"/>
            </w:tcBorders>
          </w:tcPr>
          <w:p w14:paraId="40C88DD9">
            <w:pPr>
              <w:pStyle w:val="6"/>
              <w:spacing w:before="30" w:line="360" w:lineRule="auto"/>
              <w:ind w:left="247"/>
              <w:rPr>
                <w:rFonts w:hint="eastAsia" w:eastAsia="宋体"/>
                <w:spacing w:val="-2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3"/>
                <w:lang w:val="en-US" w:eastAsia="zh-CN"/>
              </w:rPr>
              <w:t>Other psychiatric sub-specialties</w:t>
            </w:r>
          </w:p>
        </w:tc>
        <w:tc>
          <w:tcPr>
            <w:tcW w:w="1501" w:type="pct"/>
            <w:tcBorders>
              <w:bottom w:val="single" w:color="auto" w:sz="12" w:space="0"/>
            </w:tcBorders>
          </w:tcPr>
          <w:p w14:paraId="70AB4E92">
            <w:pPr>
              <w:pStyle w:val="6"/>
              <w:spacing w:before="30" w:line="360" w:lineRule="auto"/>
              <w:ind w:left="93"/>
              <w:rPr>
                <w:rFonts w:hint="default" w:eastAsia="宋体"/>
                <w:spacing w:val="-3"/>
                <w:position w:val="3"/>
                <w:lang w:val="en-US" w:eastAsia="zh-CN"/>
              </w:rPr>
            </w:pPr>
            <w:r>
              <w:rPr>
                <w:rFonts w:hint="eastAsia" w:eastAsia="宋体"/>
                <w:spacing w:val="-3"/>
                <w:position w:val="3"/>
                <w:lang w:val="en-US" w:eastAsia="zh-CN"/>
              </w:rPr>
              <w:t>17 (15.0%)</w:t>
            </w:r>
          </w:p>
        </w:tc>
      </w:tr>
    </w:tbl>
    <w:p w14:paraId="091EB6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11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2026-03-27T02:00:01Z</dcterms:created>
  <dc:creator>Administrator</dc:creator>
  <cp:lastModifiedBy>user</cp:lastModifiedBy>
  <dcterms:modified xsi:type="dcterms:W3CDTF">2026-03-27T02:05:16Z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eyJoZGlkIjoiOWU2YzVmYzZiZDdhNGM1ODVkY2E1YzM1ODU5ZDQ1NWYiLCJ1c2VySWQiOiI4MzIzNDIzODQifQ==</vt:lpwstr>
  </property>
  <property fmtid="{D5CDD505-2E9C-101B-9397-08002B2CF9AE}" pid="4" name="ICV">
    <vt:lpwstr>02A85611D55D4D61807BB24E2B266C14_12</vt:lpwstr>
  </property>
</Properties>
</file>